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D6DCD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8D6DCD">
        <w:rPr>
          <w:rFonts w:ascii="Courier New" w:hAnsi="Courier New" w:cs="Courier New"/>
        </w:rPr>
        <w:t>роект Закона Пензенской области «</w:t>
      </w:r>
      <w:r w:rsidR="002416C5" w:rsidRPr="002416C5">
        <w:rPr>
          <w:rFonts w:ascii="Courier New" w:hAnsi="Courier New" w:cs="Courier New"/>
        </w:rPr>
        <w:t>О внесении изменений в отдельные законы Пензенской области и признании утратившим силу пункта 2 статьи 2 Закона Пензенской области «О внесении изменений в отдельные законы Пензенской области»</w:t>
      </w:r>
      <w:bookmarkStart w:id="0" w:name="_GoBack"/>
      <w:bookmarkEnd w:id="0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ED09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2019-05-24T13:40:00Z</cp:lastPrinted>
  <dcterms:created xsi:type="dcterms:W3CDTF">2021-07-27T08:37:00Z</dcterms:created>
  <dcterms:modified xsi:type="dcterms:W3CDTF">2022-12-08T12:36:00Z</dcterms:modified>
</cp:coreProperties>
</file>