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t xml:space="preserve">Преимущества официальных трудовых отношений</w:t>
      </w:r>
    </w:p>
    <w:p>
      <w:pPr>
        <w:spacing w:after="0"/>
        <w:ind w:left="567" w:right="1735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Официальные трудовые отношения предполагают:</w:t>
      </w:r>
    </w:p>
    <w:p>
      <w:pPr>
        <w:spacing w:after="0"/>
        <w:ind w:left="567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-  заключение трудового договора в соответствии с Трудовым кодексом РФ;</w:t>
      </w:r>
    </w:p>
    <w:p>
      <w:pPr>
        <w:spacing w:after="0"/>
        <w:ind w:left="567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-  налоговые отчисления в бюджет;</w:t>
      </w:r>
    </w:p>
    <w:p>
      <w:pPr>
        <w:spacing w:after="0"/>
        <w:ind w:left="567" w:right="1310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-  уплату страховых взносов во внебюджетные фонды.</w:t>
      </w:r>
    </w:p>
    <w:tbl>
      <w:tblPr>
        <w:tblStyle w:val="1-11"/>
        <w:tblW w:w="14884" w:type="dxa"/>
        <w:tblBorders>
          <w:insideV w:val="single" w:color="17365D" w:themeColor="text2" w:themeShade="BF" w:sz="2" w:space="0"/>
        </w:tblBorders>
        <w:tblLook w:val="04A0" w:firstRow="1" w:lastRow="0" w:firstColumn="1" w:lastColumn="0" w:noHBand="0" w:noVBand="1"/>
      </w:tblPr>
      <w:tblGrid>
        <w:gridCol w:w="5778"/>
        <w:gridCol w:w="9106"/>
      </w:tblGrid>
      <w:tr>
        <w:trPr>
          <w:trHeight w:val="436"/>
        </w:trPr>
        <w:tc>
          <w:tcPr>
            <w:tcW w:w="5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548dd4" w:themeFill="text2" w:themeFillTint="99"/>
            <w:vAlign w:val="center"/>
          </w:tcPr>
          <w:p>
            <w:pPr>
              <w:ind w:left="28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работодателя +</w:t>
            </w:r>
          </w:p>
        </w:tc>
        <w:tc>
          <w:tcPr>
            <w:tcW w:w="91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548dd4" w:themeFill="text2" w:themeFillTint="99"/>
            <w:vAlign w:val="center"/>
          </w:tcPr>
          <w:p>
            <w:pPr>
              <w:ind w:left="28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работника +</w:t>
            </w:r>
          </w:p>
        </w:tc>
      </w:tr>
      <w:tr>
        <w:trPr/>
        <w:tc>
          <w:tcPr>
            <w:tcW w:w="5778" w:type="dxa"/>
            <w:tcBorders>
              <w:right w:val="none" w:color="auto" w:sz="0" w:space="0"/>
            </w:tcBorders>
            <w:shd w:val="clear" w:color="auto" w:fill="c6d9f1" w:themeFill="text2" w:themeFillTint="33"/>
          </w:tcPr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Хорошая деловая репутация, положительный имидж социально ответственного работодателя.</w:t>
            </w:r>
          </w:p>
          <w:p>
            <w:pPr>
              <w:pStyle w:val="a4"/>
              <w:ind w:left="284" w:right="175"/>
              <w:jc w:val="both"/>
              <w:rPr>
                <w:rFonts w:ascii="Times New Roman" w:hAnsi="Times New Roman" w:cs="Times New Roman"/>
                <w:b w:val="0"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Возможность участия в программах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государственной поддержки.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 w:val="0"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 w:val="0"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Возможность привлечь к материальной и дисциплинарной ответственности в порядке, установленном Трудовым кодексом РФ и иными нормативными актами работников, виновных в нарушении трудового законодательства и иных актов, содержащих нормы трудового права.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6" w:type="dxa"/>
            <w:tcBorders>
              <w:left w:val="none" w:color="auto" w:sz="0" w:space="0"/>
            </w:tcBorders>
            <w:shd w:val="clear" w:color="auto" w:fill="c6d9f1" w:themeFill="text2" w:themeFillTint="33"/>
          </w:tcPr>
          <w:p>
            <w:pPr>
              <w:pStyle w:val="a4"/>
              <w:numPr>
                <w:numId w:val="2"/>
                <w:ilvl w:val="0"/>
              </w:numPr>
              <w:ind w:left="284" w:right="62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Достойные условия труда (рабочее место, оборудованное в соответствии с трудовым договором и требованиями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охраны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труда).</w:t>
            </w:r>
          </w:p>
          <w:p>
            <w:pPr>
              <w:ind w:left="1" w:right="62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2"/>
                <w:ilvl w:val="0"/>
              </w:numPr>
              <w:ind w:left="284" w:right="62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 официальной заработной платы в установленные сроки и в полном объеме.</w:t>
            </w:r>
          </w:p>
          <w:p>
            <w:pPr>
              <w:ind w:right="62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2"/>
                <w:ilvl w:val="0"/>
              </w:numPr>
              <w:ind w:left="284" w:right="62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Ежегодный оплачиваемый отпуск.</w:t>
            </w:r>
          </w:p>
          <w:p>
            <w:pPr>
              <w:ind w:right="62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2"/>
                <w:ilvl w:val="0"/>
              </w:numPr>
              <w:ind w:left="284" w:right="62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Оплачиваемый лист временной нетрудоспособности (больничный).</w:t>
            </w:r>
          </w:p>
          <w:p>
            <w:pPr>
              <w:ind w:right="62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2"/>
                <w:ilvl w:val="0"/>
              </w:numPr>
              <w:ind w:left="284" w:right="62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енсионное обеспечение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полном объё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  <w:p>
            <w:pPr>
              <w:pStyle w:val="a4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2"/>
                <w:ilvl w:val="0"/>
              </w:numPr>
              <w:ind w:right="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Осуществление обязательного социального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страхования от несчастных случаев на производстве и профессиональных заболеваний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  <w:p>
            <w:pPr>
              <w:ind w:right="62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2"/>
                <w:ilvl w:val="0"/>
              </w:numPr>
              <w:ind w:left="284" w:right="62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 предусмотренных законодательством выплат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</w:t>
            </w:r>
          </w:p>
          <w:p>
            <w:pPr>
              <w:pStyle w:val="a4"/>
              <w:ind w:left="317" w:right="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увольнении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связи с ликвидацией организации, сокращением численности или штата работников, прекращением деятельности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индивидуального предпринимателя;</w:t>
            </w:r>
          </w:p>
          <w:p>
            <w:pPr>
              <w:pStyle w:val="a4"/>
              <w:ind w:left="317" w:right="62"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 временном простое;</w:t>
            </w:r>
          </w:p>
          <w:p>
            <w:pPr>
              <w:pStyle w:val="a4"/>
              <w:ind w:left="317" w:right="62"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 направлении в командировку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;</w:t>
            </w:r>
          </w:p>
          <w:p>
            <w:pPr>
              <w:pStyle w:val="a4"/>
              <w:ind w:left="317" w:right="62"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временном переводе на другую работ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у, в т.ч. по состоянию здоровья;</w:t>
            </w:r>
          </w:p>
          <w:p>
            <w:pPr>
              <w:pStyle w:val="a4"/>
              <w:ind w:left="317" w:right="62"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прохож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дении медицинского осмотра.</w:t>
            </w:r>
          </w:p>
          <w:p>
            <w:pPr>
              <w:pStyle w:val="a4"/>
              <w:ind w:left="284" w:right="62" w:firstLine="34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3"/>
                <w:ilvl w:val="0"/>
              </w:numPr>
              <w:ind w:left="284" w:right="62" w:hanging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 пособий по беременности и родам,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уходу за ребенком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  <w:p>
            <w:pPr>
              <w:ind w:right="62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2"/>
                <w:ilvl w:val="0"/>
              </w:numPr>
              <w:ind w:left="284" w:right="62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 налоговых вычетов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(оплата образования, лечения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приобретение недвижимости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).</w:t>
            </w:r>
          </w:p>
          <w:p>
            <w:pPr>
              <w:ind w:right="62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2"/>
                <w:ilvl w:val="0"/>
              </w:numPr>
              <w:ind w:left="284" w:right="62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Возможность получить кредит и ипотеку.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t xml:space="preserve">Нег</w:t>
      </w:r>
      <w:r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t xml:space="preserve">ативные последствия неформальной занятости</w:t>
      </w:r>
    </w:p>
    <w:p>
      <w:pPr>
        <w:pStyle w:val="a5"/>
        <w:rPr>
          <w:color w:val="365f91" w:themeColor="accent1" w:themeShade="BF"/>
          <w:sz w:val="16"/>
          <w:szCs w:val="16"/>
        </w:rPr>
      </w:pPr>
    </w:p>
    <w:p>
      <w:pPr>
        <w:pStyle w:val="a5"/>
        <w:jc w:val="center"/>
        <w:rPr>
          <w:i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Неформальная занятость</w:t>
      </w:r>
      <w:r>
        <w:rPr>
          <w:i/>
          <w:color w:val="365f91" w:themeColor="accent1" w:themeShade="BF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занятость</w:t>
      </w:r>
      <w:bookmarkStart w:id="0" w:name="_GoBack"/>
      <w:bookmarkEnd w:id="0"/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, не декларируемая в целях налогообложения, социальной защиты </w:t>
      </w: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работников </w:t>
      </w: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и соблюдения трудового законодательства Российской Федерации.</w:t>
      </w:r>
    </w:p>
    <w:p>
      <w:pPr>
        <w:pStyle w:val="a5"/>
        <w:rPr>
          <w:sz w:val="20"/>
          <w:szCs w:val="20"/>
        </w:rPr>
      </w:pPr>
    </w:p>
    <w:tbl>
      <w:tblPr>
        <w:tblStyle w:val="1-11"/>
        <w:tblW w:w="14850" w:type="dxa"/>
        <w:tblBorders>
          <w:insideV w:val="single" w:color="17365D" w:themeColor="text2" w:themeShade="BF" w:sz="2" w:space="0"/>
        </w:tblBorders>
        <w:tblLook w:val="04A0" w:firstRow="1" w:lastRow="0" w:firstColumn="1" w:lastColumn="0" w:noHBand="0" w:noVBand="1"/>
      </w:tblPr>
      <w:tblGrid>
        <w:gridCol w:w="5778"/>
        <w:gridCol w:w="9072"/>
      </w:tblGrid>
      <w:tr>
        <w:trPr>
          <w:trHeight w:val="507"/>
        </w:trPr>
        <w:tc>
          <w:tcPr>
            <w:tcW w:w="5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548dd4" w:themeFill="text2" w:themeFillTint="99"/>
            <w:vAlign w:val="center"/>
          </w:tcPr>
          <w:p>
            <w:pPr>
              <w:pStyle w:val="a4"/>
              <w:ind w:left="284" w:right="175"/>
              <w:jc w:val="center"/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  <w:t xml:space="preserve">Для работодателя -</w:t>
            </w:r>
          </w:p>
        </w:tc>
        <w:tc>
          <w:tcPr>
            <w:tcW w:w="9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548dd4" w:themeFill="text2" w:themeFillTint="99"/>
            <w:vAlign w:val="center"/>
          </w:tcPr>
          <w:p>
            <w:pPr>
              <w:pStyle w:val="a4"/>
              <w:ind w:left="284" w:right="175"/>
              <w:jc w:val="center"/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  <w:t xml:space="preserve">Для работника -</w:t>
            </w:r>
          </w:p>
        </w:tc>
      </w:tr>
      <w:tr>
        <w:trPr/>
        <w:tc>
          <w:tcPr>
            <w:tcW w:w="5778" w:type="dxa"/>
            <w:tcBorders>
              <w:right w:val="none" w:color="auto" w:sz="0" w:space="0"/>
            </w:tcBorders>
            <w:shd w:val="clear" w:color="auto" w:fill="c6d9f1" w:themeFill="text2" w:themeFillTint="33"/>
          </w:tcPr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Административные штрафы до 100 тысяч рублей, при повторном нарушении – до 200 тысяч рублей, дисквалификация должностного лица на срок от 1 года до 3 лет (ст.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5.27 КоАП РФ).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Отсутствие возможности принять участие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программах государственной поддержки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Отсутствие возможности привлечь работника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ответственности за несоблюдение трудовой дисциплины, обеспечить сохраннос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ть материальных ценностей.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Риск проведения проверок со сторон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надзорных органов.</w:t>
            </w:r>
          </w:p>
          <w:p>
            <w:pPr>
              <w:pStyle w:val="a4"/>
              <w:ind w:left="284" w:right="175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one" w:color="auto" w:sz="0" w:space="0"/>
            </w:tcBorders>
            <w:shd w:val="clear" w:color="auto" w:fill="c6d9f1" w:themeFill="text2" w:themeFillTint="33"/>
          </w:tcPr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есоответствие условий труда и продолжительности рабочего дня 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ормам трудового законодательства.</w:t>
            </w:r>
          </w:p>
          <w:p>
            <w:pPr>
              <w:ind w:left="1"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Неперечисление страховых взносов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 внебюджетные фон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ды: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Фонд пенси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нного и соци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льного страхов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Федеральный фонд обязательного  медицинского страхования РФ.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тсутствие права на страховую пенсию при достижении пенсионного возраста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тсутствие доплаты за работу в ночное время, за сверхурочную работу, работу в праздничные дни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Отсутствие каких-либо социальных гарантий (оплаченного листа временной нетрудоспособности, оплачиваемого отпуска, выплат, связанных с сокращением, простоем, обуч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ением, рождением ребенка и др.)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иск увольнения в любой момент по инициативе работодателя без выплаты заработной платы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Минимальный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размер пособия по безработице.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Невозможность доказательства стажа и опыта предыдущей работы при трудоустройстве к другому работодателю. 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олучение отказа в расследовании несчастного случая на производстве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  <w:p>
            <w:pPr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shd w:val="clear" w:color="auto" w:fill="c6d9f1" w:themeFill="text2" w:themeFillTint="33"/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тказ в получении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 xml:space="preserve">банковского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c6d9f1" w:themeFill="text2" w:themeFillTint="3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 xml:space="preserve">кредита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  <w:p>
            <w:pPr>
              <w:shd w:val="clear" w:color="auto" w:fill="c6d9f1" w:themeFill="text2" w:themeFillTint="33"/>
              <w:ind w:right="175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>
            <w:pPr>
              <w:pStyle w:val="a4"/>
              <w:numPr>
                <w:numId w:val="1"/>
                <w:ilvl w:val="0"/>
              </w:numPr>
              <w:shd w:val="clear" w:color="auto" w:fill="c6d9f1" w:themeFill="text2" w:themeFillTint="33"/>
              <w:ind w:left="284" w:right="175" w:hanging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гроза привлечения к ответственности за незадекларированные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 xml:space="preserve"> доходы</w:t>
            </w:r>
            <w:r>
              <w:rPr>
                <w:color w:val="333333"/>
                <w:sz w:val="27"/>
                <w:szCs w:val="27"/>
                <w:shd w:val="clear" w:color="auto" w:fill="dbe5f1" w:themeFill="accent1" w:themeFillTint="33"/>
              </w:rPr>
              <w:t xml:space="preserve"> </w:t>
            </w:r>
            <w:r>
              <w:rPr>
                <w:rFonts w:ascii="Helvetica" w:hAnsi="Helvetica"/>
                <w:i/>
                <w:color w:val="333333"/>
                <w:sz w:val="27"/>
                <w:szCs w:val="27"/>
                <w:shd w:val="clear" w:color="auto" w:fill="c6d9f1" w:themeFill="text2" w:themeFillTint="33"/>
              </w:rPr>
              <w:t xml:space="preserve"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 xml:space="preserve">за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уклонение от уплаты налогов физическим лицом предусмотрена уголовная ответственность по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статье 198 УК РФ)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</w:t>
            </w:r>
          </w:p>
        </w:tc>
      </w:tr>
    </w:tbl>
    <w:p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sectPr>
      <w:headerReference w:type="default" r:id="rId9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jc w:val="center"/>
      <w:rPr>
        <w:rFonts w:ascii="Times New Roman" w:hAnsi="Times New Roman" w:cs="Times New Roman"/>
        <w:b/>
        <w:i/>
        <w:color w:val="0f243e" w:themeColor="text2" w:themeShade="80"/>
        <w:sz w:val="36"/>
        <w:szCs w:val="36"/>
      </w:rPr>
    </w:pPr>
    <w:r>
      <w:rPr>
        <w:rFonts w:ascii="Times New Roman" w:hAnsi="Times New Roman" w:cs="Times New Roman"/>
        <w:b/>
        <w:i/>
        <w:color w:val="0f243e" w:themeColor="text2" w:themeShade="80"/>
        <w:sz w:val="36"/>
        <w:szCs w:val="36"/>
      </w:rPr>
      <w:t xml:space="preserve">Легализация трудовых отношений</w:t>
    </w:r>
  </w:p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04190001">
      <w:start w:val="1"/>
      <w:numFmt w:val="bullet"/>
      <w:lvlText w:val=""/>
      <w:lvlJc w:val="left"/>
      <w:pPr>
        <w:ind w:left="885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605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25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45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65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85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205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25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4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1" w:customStyle="1">
    <w:name w:val="Светлый список1"/>
    <w:basedOn w:val="a1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a5">
    <w:name w:val="No Spacing"/>
    <w:uiPriority w:val="1"/>
    <w:qFormat/>
    <w:pPr>
      <w:spacing w:after="0" w:line="240" w:lineRule="auto"/>
    </w:pPr>
  </w:style>
  <w:style w:type="character" w:styleId="a6">
    <w:name w:val="Emphasis"/>
    <w:basedOn w:val="a0"/>
    <w:uiPriority w:val="20"/>
    <w:qFormat/>
    <w:rPr>
      <w:i/>
      <w:iCs/>
    </w:rPr>
  </w:style>
  <w:style w:type="table" w:styleId="1-11" w:customStyle="1">
    <w:name w:val="Средняя заливка 1 - Акцент 11"/>
    <w:basedOn w:val="a1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one"/>
          <w:insideV w:val="none"/>
        </w:tcBorders>
        <w:shd w:val="clear" w:color="auto" w:fill="4f81bd" w:themeFill="accent1"/>
      </w:tc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one"/>
          <w:insideV w:val="non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one"/>
          <w:insideV w:val="none"/>
        </w:tcBorders>
        <w:shd w:val="clear" w:color="auto" w:fill="d3dfee" w:themeFill="accent1" w:themeFillTint="3F"/>
      </w:tcPr>
    </w:tblStylePr>
    <w:tblStylePr w:type="band2Horz">
      <w:tcPr>
        <w:tcBorders>
          <w:insideH w:val="none"/>
          <w:insideV w:val="none"/>
        </w:tcBorders>
      </w:tcPr>
    </w:tblStyle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semiHidden/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 w:customStyle="1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955DB-BBDB-45A1-B2CE-EED244A9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haracters>3192</Characters>
  <CharactersWithSpaces>3745</CharactersWithSpaces>
  <Company/>
  <DocSecurity>0</DocSecurity>
  <HyperlinksChanged>false</HyperlinksChanged>
  <Lines>26</Lines>
  <LinksUpToDate>false</LinksUpToDate>
  <Pages>2</Pages>
  <Paragraphs>7</Paragraphs>
  <ScaleCrop>false</ScaleCrop>
  <SharedDoc>false</SharedDoc>
  <Template>Normal</Template>
  <TotalTime>5</TotalTime>
  <Words>560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solofova</dc:creator>
  <cp:lastModifiedBy>solofova</cp:lastModifiedBy>
  <cp:revision>2</cp:revision>
  <dcterms:created xsi:type="dcterms:W3CDTF">2024-09-16T09:09:00Z</dcterms:created>
  <dcterms:modified xsi:type="dcterms:W3CDTF">2024-09-16T09:09:00Z</dcterms:modified>
</cp:coreProperties>
</file>